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4B" w:rsidRPr="0014024B" w:rsidRDefault="0014024B" w:rsidP="0014024B">
      <w:pPr>
        <w:shd w:val="clear" w:color="auto" w:fill="FFFFFF"/>
        <w:spacing w:after="180" w:line="360" w:lineRule="atLeast"/>
        <w:jc w:val="center"/>
        <w:rPr>
          <w:rFonts w:ascii="Calibri" w:eastAsia="Times New Roman" w:hAnsi="Calibri" w:cs="Times New Roman"/>
          <w:color w:val="222222"/>
          <w:lang w:eastAsia="it-IT"/>
        </w:rPr>
      </w:pPr>
      <w:r w:rsidRPr="0014024B">
        <w:rPr>
          <w:rFonts w:ascii="Lucida Sans Unicode" w:eastAsia="Times New Roman" w:hAnsi="Lucida Sans Unicode" w:cs="Lucida Sans Unicode"/>
          <w:b/>
          <w:bCs/>
          <w:color w:val="222222"/>
          <w:sz w:val="24"/>
          <w:szCs w:val="24"/>
          <w:lang w:eastAsia="it-IT"/>
        </w:rPr>
        <w:t>Promozione Prodotti agricoli nel mercato interno e nei Paesi terzi: bando 2021 per programmi multipli </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Titolo</w:t>
      </w:r>
    </w:p>
    <w:p w:rsidR="0014024B" w:rsidRPr="0014024B" w:rsidRDefault="0014024B" w:rsidP="0014024B">
      <w:pPr>
        <w:shd w:val="clear" w:color="auto" w:fill="FFFFFF"/>
        <w:spacing w:after="0" w:line="240" w:lineRule="auto"/>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Invito a presentare proposte 2021 — Programmi multipli — Sovvenzioni per azioni di informazione e di promozione riguardanti i prodotti agricoli realizzate nel mercato interno e nei paesi terzi a norma del regolamento (UE) n. 1144/2014 del Parlamento europeo e del Consiglio</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Oggetto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Bando 2021 per azioni di informazione e di promozione riguardanti i prodotti agricoli realizzate nel mercato interno e nei Paesi terzi – PROGRAMMI MULTIPLI</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Ente Erogatore</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Commissione europea</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Obiettivo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Rafforzare la competitività del settore agricolo dell'Unione e in particolare:</w:t>
      </w:r>
      <w:r w:rsidRPr="0014024B">
        <w:rPr>
          <w:rFonts w:ascii="Lucida Sans Unicode" w:eastAsia="Times New Roman" w:hAnsi="Lucida Sans Unicode" w:cs="Lucida Sans Unicode"/>
          <w:color w:val="222222"/>
          <w:sz w:val="24"/>
          <w:szCs w:val="24"/>
          <w:lang w:eastAsia="it-IT"/>
        </w:rPr>
        <w:br/>
        <w:t>a. migliorare il grado di conoscenza dei meriti dei prodotti agricoli dell'Ue e degli elevati standard applicabili ai metodi di produzione nell'Ue;</w:t>
      </w:r>
      <w:r w:rsidRPr="0014024B">
        <w:rPr>
          <w:rFonts w:ascii="Lucida Sans Unicode" w:eastAsia="Times New Roman" w:hAnsi="Lucida Sans Unicode" w:cs="Lucida Sans Unicode"/>
          <w:color w:val="222222"/>
          <w:sz w:val="24"/>
          <w:szCs w:val="24"/>
          <w:lang w:eastAsia="it-IT"/>
        </w:rPr>
        <w:br/>
        <w:t>b. aumentare la competitività e il consumo dei prodotti agricoli e di determinati prodotti alimentari dell'Unione e ottimizzarne l'immagine, tanto all'interno quanto all'esterno dell'Ue;</w:t>
      </w:r>
      <w:r w:rsidRPr="0014024B">
        <w:rPr>
          <w:rFonts w:ascii="Lucida Sans Unicode" w:eastAsia="Times New Roman" w:hAnsi="Lucida Sans Unicode" w:cs="Lucida Sans Unicode"/>
          <w:color w:val="222222"/>
          <w:sz w:val="24"/>
          <w:szCs w:val="24"/>
          <w:lang w:eastAsia="it-IT"/>
        </w:rPr>
        <w:br/>
        <w:t>c. rafforzare la consapevolezza e il riconoscimento dei regimi di qualità dell'Ue;</w:t>
      </w:r>
      <w:r w:rsidRPr="0014024B">
        <w:rPr>
          <w:rFonts w:ascii="Lucida Sans Unicode" w:eastAsia="Times New Roman" w:hAnsi="Lucida Sans Unicode" w:cs="Lucida Sans Unicode"/>
          <w:color w:val="222222"/>
          <w:sz w:val="24"/>
          <w:szCs w:val="24"/>
          <w:lang w:eastAsia="it-IT"/>
        </w:rPr>
        <w:br/>
        <w:t>d. aumentare la quota di mercato dei prodotti agricoli e di determinati prodotti alimentari dell'Unione, prestando particolare attenzione ai mercati di paesi terzi che presentano il maggior potenziale di crescita;</w:t>
      </w:r>
      <w:r w:rsidRPr="0014024B">
        <w:rPr>
          <w:rFonts w:ascii="Lucida Sans Unicode" w:eastAsia="Times New Roman" w:hAnsi="Lucida Sans Unicode" w:cs="Lucida Sans Unicode"/>
          <w:color w:val="222222"/>
          <w:sz w:val="24"/>
          <w:szCs w:val="24"/>
          <w:lang w:eastAsia="it-IT"/>
        </w:rPr>
        <w:br/>
        <w:t>e. ripristinare condizioni normali di mercato in caso di turbative gravi del mercato, perdita di fiducia dei consumatori o altri problemi specifici.</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Azioni</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I programmi di informazione e di promozione consistono in un insieme coerente di operazioni come attività promozionali e campagne di informazione, in particolare in forma di relazioni pubbliche, pubblicità, attività di vendita, partecipazione a eventi e fiere di importanza nazionale, europea e internazionale, ecc.</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Il bando riguarda l’esecuzione di </w:t>
      </w:r>
      <w:r w:rsidRPr="0014024B">
        <w:rPr>
          <w:rFonts w:ascii="Lucida Sans Unicode" w:eastAsia="Times New Roman" w:hAnsi="Lucida Sans Unicode" w:cs="Lucida Sans Unicode"/>
          <w:b/>
          <w:bCs/>
          <w:color w:val="222222"/>
          <w:sz w:val="24"/>
          <w:szCs w:val="24"/>
          <w:lang w:eastAsia="it-IT"/>
        </w:rPr>
        <w:t>programmi multipli</w:t>
      </w:r>
      <w:r w:rsidRPr="0014024B">
        <w:rPr>
          <w:rFonts w:ascii="Lucida Sans Unicode" w:eastAsia="Times New Roman" w:hAnsi="Lucida Sans Unicode" w:cs="Lucida Sans Unicode"/>
          <w:color w:val="222222"/>
          <w:sz w:val="24"/>
          <w:szCs w:val="24"/>
          <w:lang w:eastAsia="it-IT"/>
        </w:rPr>
        <w:t>, (che devono essere presentati da almeno due organizzazioni di almeno 2 Stati membri diversi) relativi ad azioni nel </w:t>
      </w:r>
      <w:r w:rsidRPr="0014024B">
        <w:rPr>
          <w:rFonts w:ascii="Lucida Sans Unicode" w:eastAsia="Times New Roman" w:hAnsi="Lucida Sans Unicode" w:cs="Lucida Sans Unicode"/>
          <w:b/>
          <w:bCs/>
          <w:color w:val="222222"/>
          <w:sz w:val="24"/>
          <w:szCs w:val="24"/>
          <w:lang w:eastAsia="it-IT"/>
        </w:rPr>
        <w:t>mercato interno</w:t>
      </w:r>
      <w:r w:rsidRPr="0014024B">
        <w:rPr>
          <w:rFonts w:ascii="Lucida Sans Unicode" w:eastAsia="Times New Roman" w:hAnsi="Lucida Sans Unicode" w:cs="Lucida Sans Unicode"/>
          <w:color w:val="222222"/>
          <w:sz w:val="24"/>
          <w:szCs w:val="24"/>
          <w:lang w:eastAsia="it-IT"/>
        </w:rPr>
        <w:t> o nei </w:t>
      </w:r>
      <w:r w:rsidRPr="0014024B">
        <w:rPr>
          <w:rFonts w:ascii="Lucida Sans Unicode" w:eastAsia="Times New Roman" w:hAnsi="Lucida Sans Unicode" w:cs="Lucida Sans Unicode"/>
          <w:b/>
          <w:bCs/>
          <w:color w:val="222222"/>
          <w:sz w:val="24"/>
          <w:szCs w:val="24"/>
          <w:lang w:eastAsia="it-IT"/>
        </w:rPr>
        <w:t>Paesi terzi</w:t>
      </w:r>
      <w:r w:rsidRPr="0014024B">
        <w:rPr>
          <w:rFonts w:ascii="Lucida Sans Unicode" w:eastAsia="Times New Roman" w:hAnsi="Lucida Sans Unicode" w:cs="Lucida Sans Unicode"/>
          <w:color w:val="222222"/>
          <w:sz w:val="24"/>
          <w:szCs w:val="24"/>
          <w:lang w:eastAsia="it-IT"/>
        </w:rPr>
        <w:t> nell'ambito dei seguenti temi:</w:t>
      </w: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b/>
          <w:bCs/>
          <w:color w:val="222222"/>
          <w:sz w:val="24"/>
          <w:szCs w:val="24"/>
          <w:lang w:eastAsia="it-IT"/>
        </w:rPr>
        <w:t>MERCATO INTERNO</w:t>
      </w: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color w:val="222222"/>
          <w:sz w:val="24"/>
          <w:szCs w:val="24"/>
          <w:lang w:eastAsia="it-IT"/>
        </w:rPr>
        <w:lastRenderedPageBreak/>
        <w:t>Tema 1. </w:t>
      </w:r>
      <w:r w:rsidRPr="0014024B">
        <w:rPr>
          <w:rFonts w:ascii="Lucida Sans Unicode" w:eastAsia="Times New Roman" w:hAnsi="Lucida Sans Unicode" w:cs="Lucida Sans Unicode"/>
          <w:b/>
          <w:bCs/>
          <w:color w:val="222222"/>
          <w:sz w:val="24"/>
          <w:szCs w:val="24"/>
          <w:lang w:eastAsia="it-IT"/>
        </w:rPr>
        <w:t>AGRIP-MULTI-2021-IM</w:t>
      </w:r>
      <w:r w:rsidRPr="0014024B">
        <w:rPr>
          <w:rFonts w:ascii="Lucida Sans Unicode" w:eastAsia="Times New Roman" w:hAnsi="Lucida Sans Unicode" w:cs="Lucida Sans Unicode"/>
          <w:color w:val="222222"/>
          <w:sz w:val="24"/>
          <w:szCs w:val="24"/>
          <w:lang w:eastAsia="it-IT"/>
        </w:rPr>
        <w:br/>
        <w:t>- Programmi di informazione e di promozione destinati a rafforzare la consapevolezza e il riconoscimento dei </w:t>
      </w:r>
      <w:hyperlink r:id="rId4" w:tgtFrame="_blank" w:history="1">
        <w:r w:rsidRPr="0014024B">
          <w:rPr>
            <w:rFonts w:ascii="Lucida Sans Unicode" w:eastAsia="Times New Roman" w:hAnsi="Lucida Sans Unicode" w:cs="Lucida Sans Unicode"/>
            <w:sz w:val="24"/>
            <w:szCs w:val="24"/>
            <w:u w:val="single"/>
            <w:lang w:eastAsia="it-IT"/>
          </w:rPr>
          <w:t>regimi di qualità</w:t>
        </w:r>
      </w:hyperlink>
      <w:r w:rsidRPr="0014024B">
        <w:rPr>
          <w:rFonts w:ascii="Lucida Sans Unicode" w:eastAsia="Times New Roman" w:hAnsi="Lucida Sans Unicode" w:cs="Lucida Sans Unicode"/>
          <w:color w:val="222222"/>
          <w:sz w:val="24"/>
          <w:szCs w:val="24"/>
          <w:lang w:eastAsia="it-IT"/>
        </w:rPr>
        <w:t> dell’Ue:</w:t>
      </w:r>
      <w:r w:rsidRPr="0014024B">
        <w:rPr>
          <w:rFonts w:ascii="Lucida Sans Unicode" w:eastAsia="Times New Roman" w:hAnsi="Lucida Sans Unicode" w:cs="Lucida Sans Unicode"/>
          <w:color w:val="222222"/>
          <w:sz w:val="24"/>
          <w:szCs w:val="24"/>
          <w:lang w:eastAsia="it-IT"/>
        </w:rPr>
        <w:br/>
        <w:t>a) regimi di qualità: denominazione di origine protetta (DOP), indicazione geografica protetta (IGP), specialità tradizionale garantita (STG) e indicazioni facoltative di qualità;</w:t>
      </w:r>
      <w:r w:rsidRPr="0014024B">
        <w:rPr>
          <w:rFonts w:ascii="Lucida Sans Unicode" w:eastAsia="Times New Roman" w:hAnsi="Lucida Sans Unicode" w:cs="Lucida Sans Unicode"/>
          <w:color w:val="222222"/>
          <w:sz w:val="24"/>
          <w:szCs w:val="24"/>
          <w:lang w:eastAsia="it-IT"/>
        </w:rPr>
        <w:br/>
        <w:t>b) il simbolo grafico (logo) dei prodotti agricoli di qualità caratteristici delle regioni ultraperiferiche dell’Unione.</w:t>
      </w:r>
      <w:r w:rsidRPr="0014024B">
        <w:rPr>
          <w:rFonts w:ascii="Lucida Sans Unicode" w:eastAsia="Times New Roman" w:hAnsi="Lucida Sans Unicode" w:cs="Lucida Sans Unicode"/>
          <w:color w:val="222222"/>
          <w:sz w:val="24"/>
          <w:szCs w:val="24"/>
          <w:lang w:eastAsia="it-IT"/>
        </w:rPr>
        <w:br/>
        <w:t>OPPURE</w:t>
      </w:r>
      <w:r w:rsidRPr="0014024B">
        <w:rPr>
          <w:rFonts w:ascii="Lucida Sans Unicode" w:eastAsia="Times New Roman" w:hAnsi="Lucida Sans Unicode" w:cs="Lucida Sans Unicode"/>
          <w:color w:val="222222"/>
          <w:sz w:val="24"/>
          <w:szCs w:val="24"/>
          <w:lang w:eastAsia="it-IT"/>
        </w:rPr>
        <w:br/>
        <w:t>- Programmi di informazione e di promozione destinati a mettere in evidenza le specificità dei metodi di produzione agricola nell’Ue e le caratteristiche dei relativi prodotti agroalimentari nonché dei regimi di qualità: devono mettere in evidenza almeno una delle specificità dei metodi di produzione agricola nell’Ue, in particolare sul piano della sicurezza alimentare, della tracciabilità, dell’autenticità, dell’etichettatura, degli aspetti nutrizionali e sanitari (comprese abitudini alimentari corrette e consumo responsabile delle bevande alcoliche ammissibili), del benessere degli animali, come pure delle caratteristiche intrinseche dei prodotti agricoli e alimentari, specialmente in termini di qualità, sapore, diversità o tradizioni.</w:t>
      </w:r>
      <w:r w:rsidRPr="0014024B">
        <w:rPr>
          <w:rFonts w:ascii="Lucida Sans Unicode" w:eastAsia="Times New Roman" w:hAnsi="Lucida Sans Unicode" w:cs="Lucida Sans Unicode"/>
          <w:color w:val="222222"/>
          <w:sz w:val="24"/>
          <w:szCs w:val="24"/>
          <w:lang w:eastAsia="it-IT"/>
        </w:rPr>
        <w:br/>
        <w:t>Budget: </w:t>
      </w:r>
      <w:r w:rsidRPr="0014024B">
        <w:rPr>
          <w:rFonts w:ascii="Lucida Sans Unicode" w:eastAsia="Times New Roman" w:hAnsi="Lucida Sans Unicode" w:cs="Lucida Sans Unicode"/>
          <w:b/>
          <w:bCs/>
          <w:color w:val="222222"/>
          <w:sz w:val="24"/>
          <w:szCs w:val="24"/>
          <w:lang w:eastAsia="it-IT"/>
        </w:rPr>
        <w:t>4.200.000 euro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Tema 2. </w:t>
      </w:r>
      <w:r w:rsidRPr="0014024B">
        <w:rPr>
          <w:rFonts w:ascii="Lucida Sans Unicode" w:eastAsia="Times New Roman" w:hAnsi="Lucida Sans Unicode" w:cs="Lucida Sans Unicode"/>
          <w:b/>
          <w:bCs/>
          <w:color w:val="222222"/>
          <w:sz w:val="24"/>
          <w:szCs w:val="24"/>
          <w:lang w:eastAsia="it-IT"/>
        </w:rPr>
        <w:t>AGRIP-MULTI-2021-IM- ORGAN</w:t>
      </w:r>
      <w:r w:rsidRPr="0014024B">
        <w:rPr>
          <w:rFonts w:ascii="Lucida Sans Unicode" w:eastAsia="Times New Roman" w:hAnsi="Lucida Sans Unicode" w:cs="Lucida Sans Unicode"/>
          <w:color w:val="222222"/>
          <w:sz w:val="24"/>
          <w:szCs w:val="24"/>
          <w:lang w:eastAsia="it-IT"/>
        </w:rPr>
        <w:br/>
        <w:t>Programmi di informazione e di promozione destinati a rafforzare la consapevolezza e il riconoscimento del regime di qualità dell’Ue relativo al metodo di produzione biologica; tale regime fornisce ai consumatori garanzie sulla sostenibilità, sulla qualità e sulle caratteristiche del prodotto o del processo di produzione utilizzato, nonché sui benefici ambientali che essi generano</w:t>
      </w:r>
      <w:r w:rsidRPr="0014024B">
        <w:rPr>
          <w:rFonts w:ascii="Lucida Sans Unicode" w:eastAsia="Times New Roman" w:hAnsi="Lucida Sans Unicode" w:cs="Lucida Sans Unicode"/>
          <w:color w:val="222222"/>
          <w:sz w:val="24"/>
          <w:szCs w:val="24"/>
          <w:lang w:eastAsia="it-IT"/>
        </w:rPr>
        <w:br/>
        <w:t>Budget: </w:t>
      </w:r>
      <w:r w:rsidRPr="0014024B">
        <w:rPr>
          <w:rFonts w:ascii="Lucida Sans Unicode" w:eastAsia="Times New Roman" w:hAnsi="Lucida Sans Unicode" w:cs="Lucida Sans Unicode"/>
          <w:b/>
          <w:bCs/>
          <w:color w:val="222222"/>
          <w:sz w:val="24"/>
          <w:szCs w:val="24"/>
          <w:lang w:eastAsia="it-IT"/>
        </w:rPr>
        <w:t>17.000.000 euro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Tema 3. </w:t>
      </w:r>
      <w:r w:rsidRPr="0014024B">
        <w:rPr>
          <w:rFonts w:ascii="Lucida Sans Unicode" w:eastAsia="Times New Roman" w:hAnsi="Lucida Sans Unicode" w:cs="Lucida Sans Unicode"/>
          <w:b/>
          <w:bCs/>
          <w:color w:val="222222"/>
          <w:sz w:val="24"/>
          <w:szCs w:val="24"/>
          <w:lang w:eastAsia="it-IT"/>
        </w:rPr>
        <w:t>AGRIP-MULTI-2021-IM-SUSTAINABLE</w:t>
      </w:r>
      <w:r w:rsidRPr="0014024B">
        <w:rPr>
          <w:rFonts w:ascii="Lucida Sans Unicode" w:eastAsia="Times New Roman" w:hAnsi="Lucida Sans Unicode" w:cs="Lucida Sans Unicode"/>
          <w:color w:val="222222"/>
          <w:sz w:val="24"/>
          <w:szCs w:val="24"/>
          <w:lang w:eastAsia="it-IT"/>
        </w:rPr>
        <w:br/>
        <w:t>Programmi di sensibilizzazione in merito all’agricoltura sostenibile dell’Ue e al ruolo del settore agroalimentare per l’azione per il clima e l’ambiente. In particolare dovrebbero mettere in evidenza la sostenibilità ambientale dell’agricoltura dell’Ue, sottolineandone l’apporto benefico all’azione per il clima e all’ambiente affrontando i modi in cui i prodotti sono promossi e i loro metodi di produzione contribuiscono: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a) alla mitigazione dei cambiamenti climatici (riduzione delle emissioni di gas serra, ecc.) e/o all’adattamento agli stessi (risparmio idrico, colture e varietà resistenti al clima, ecc.)</w:t>
      </w: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color w:val="222222"/>
          <w:sz w:val="24"/>
          <w:szCs w:val="24"/>
          <w:lang w:eastAsia="it-IT"/>
        </w:rPr>
        <w:lastRenderedPageBreak/>
        <w:t>e</w:t>
      </w:r>
      <w:r w:rsidRPr="0014024B">
        <w:rPr>
          <w:rFonts w:ascii="Lucida Sans Unicode" w:eastAsia="Times New Roman" w:hAnsi="Lucida Sans Unicode" w:cs="Lucida Sans Unicode"/>
          <w:color w:val="222222"/>
          <w:sz w:val="24"/>
          <w:szCs w:val="24"/>
          <w:lang w:eastAsia="it-IT"/>
        </w:rPr>
        <w:br/>
        <w:t>b) ad almeno uno dei seguenti fattori: conservazione della biodiversità e uso sostenibile delle risorse naturali (fauna selvatica, paesaggio, risorse genetiche, ecc.); gestione sostenibile delle risorse idriche (uso efficiente dell’acqua, riduzione del carico di nutrienti o pesticidi, ecc.); gestione sostenibile del suolo (monitoraggio dell’erosione, equilibrio dei nutrienti, prevenzione dell’acidificazione e della salinizzazione, riduzione dei pesticidi, ecc.); metodi di produzione animale sostenibili ed efficienti sotto il profilo delle emissioni di carbonio; riduzione dell’uso di antimicrobici; riduzione delle perdite e degli sprechi alimentari; consumo sostenibile; benessere degli animali.</w:t>
      </w:r>
      <w:r w:rsidRPr="0014024B">
        <w:rPr>
          <w:rFonts w:ascii="Lucida Sans Unicode" w:eastAsia="Times New Roman" w:hAnsi="Lucida Sans Unicode" w:cs="Lucida Sans Unicode"/>
          <w:color w:val="222222"/>
          <w:sz w:val="24"/>
          <w:szCs w:val="24"/>
          <w:lang w:eastAsia="it-IT"/>
        </w:rPr>
        <w:br/>
        <w:t>Budget indicativo: </w:t>
      </w:r>
      <w:r w:rsidRPr="0014024B">
        <w:rPr>
          <w:rFonts w:ascii="Lucida Sans Unicode" w:eastAsia="Times New Roman" w:hAnsi="Lucida Sans Unicode" w:cs="Lucida Sans Unicode"/>
          <w:b/>
          <w:bCs/>
          <w:color w:val="222222"/>
          <w:sz w:val="24"/>
          <w:szCs w:val="24"/>
          <w:lang w:eastAsia="it-IT"/>
        </w:rPr>
        <w:t>12.000.000 euro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Tema 4. </w:t>
      </w:r>
      <w:r w:rsidRPr="0014024B">
        <w:rPr>
          <w:rFonts w:ascii="Lucida Sans Unicode" w:eastAsia="Times New Roman" w:hAnsi="Lucida Sans Unicode" w:cs="Lucida Sans Unicode"/>
          <w:b/>
          <w:bCs/>
          <w:color w:val="222222"/>
          <w:sz w:val="24"/>
          <w:szCs w:val="24"/>
          <w:lang w:eastAsia="it-IT"/>
        </w:rPr>
        <w:t>AGRIP-MULTI-2021-IM-PROPER DIET</w:t>
      </w:r>
      <w:r w:rsidRPr="0014024B">
        <w:rPr>
          <w:rFonts w:ascii="Lucida Sans Unicode" w:eastAsia="Times New Roman" w:hAnsi="Lucida Sans Unicode" w:cs="Lucida Sans Unicode"/>
          <w:color w:val="222222"/>
          <w:sz w:val="24"/>
          <w:szCs w:val="24"/>
          <w:lang w:eastAsia="it-IT"/>
        </w:rPr>
        <w:br/>
        <w:t xml:space="preserve">Programmi di informazione e di promozione che mirano ad aumentare il consumo di </w:t>
      </w:r>
      <w:proofErr w:type="spellStart"/>
      <w:r w:rsidRPr="0014024B">
        <w:rPr>
          <w:rFonts w:ascii="Lucida Sans Unicode" w:eastAsia="Times New Roman" w:hAnsi="Lucida Sans Unicode" w:cs="Lucida Sans Unicode"/>
          <w:color w:val="222222"/>
          <w:sz w:val="24"/>
          <w:szCs w:val="24"/>
          <w:lang w:eastAsia="it-IT"/>
        </w:rPr>
        <w:t>di</w:t>
      </w:r>
      <w:proofErr w:type="spellEnd"/>
      <w:r w:rsidRPr="0014024B">
        <w:rPr>
          <w:rFonts w:ascii="Lucida Sans Unicode" w:eastAsia="Times New Roman" w:hAnsi="Lucida Sans Unicode" w:cs="Lucida Sans Unicode"/>
          <w:color w:val="222222"/>
          <w:sz w:val="24"/>
          <w:szCs w:val="24"/>
          <w:lang w:eastAsia="it-IT"/>
        </w:rPr>
        <w:t xml:space="preserve"> frutta e verdura fresca nel mercato interno nel contesto di abitudini alimentari corrette ed equilibrate (in linea con il </w:t>
      </w:r>
      <w:hyperlink r:id="rId5" w:tgtFrame="_blank" w:history="1">
        <w:r w:rsidRPr="0014024B">
          <w:rPr>
            <w:rFonts w:ascii="Lucida Sans Unicode" w:eastAsia="Times New Roman" w:hAnsi="Lucida Sans Unicode" w:cs="Lucida Sans Unicode"/>
            <w:sz w:val="24"/>
            <w:szCs w:val="24"/>
            <w:u w:val="single"/>
            <w:lang w:eastAsia="it-IT"/>
          </w:rPr>
          <w:t>libro bianco concernente una strategia sugli aspetti sanitari connessi all’alimentazione, al sovrappeso e all’obesità</w:t>
        </w:r>
      </w:hyperlink>
      <w:r w:rsidRPr="0014024B">
        <w:rPr>
          <w:rFonts w:ascii="Lucida Sans Unicode" w:eastAsia="Times New Roman" w:hAnsi="Lucida Sans Unicode" w:cs="Lucida Sans Unicode"/>
          <w:color w:val="222222"/>
          <w:sz w:val="24"/>
          <w:szCs w:val="24"/>
          <w:lang w:eastAsia="it-IT"/>
        </w:rPr>
        <w:t>).</w:t>
      </w:r>
      <w:r w:rsidRPr="0014024B">
        <w:rPr>
          <w:rFonts w:ascii="Lucida Sans Unicode" w:eastAsia="Times New Roman" w:hAnsi="Lucida Sans Unicode" w:cs="Lucida Sans Unicode"/>
          <w:color w:val="222222"/>
          <w:sz w:val="24"/>
          <w:szCs w:val="24"/>
          <w:lang w:eastAsia="it-IT"/>
        </w:rPr>
        <w:br/>
        <w:t>I programmi devono evidenziare i benefici del consumo di frutta e verdura fresca nell’ambito di un’alimentazione equilibrata, concentrandosi in particolare sui seguenti aspetti: mirare al consumo quotidiano di almeno cinque porzioni di vari tipi di frutta e verdura; la posizione della frutta e della verdura nella piramide alimentare, i loro effetti benefici sulla salute ecc.</w:t>
      </w:r>
      <w:r w:rsidRPr="0014024B">
        <w:rPr>
          <w:rFonts w:ascii="Lucida Sans Unicode" w:eastAsia="Times New Roman" w:hAnsi="Lucida Sans Unicode" w:cs="Lucida Sans Unicode"/>
          <w:color w:val="222222"/>
          <w:sz w:val="24"/>
          <w:szCs w:val="24"/>
          <w:lang w:eastAsia="it-IT"/>
        </w:rPr>
        <w:br/>
        <w:t>Budget indicativo: </w:t>
      </w:r>
      <w:r w:rsidRPr="0014024B">
        <w:rPr>
          <w:rFonts w:ascii="Lucida Sans Unicode" w:eastAsia="Times New Roman" w:hAnsi="Lucida Sans Unicode" w:cs="Lucida Sans Unicode"/>
          <w:b/>
          <w:bCs/>
          <w:color w:val="222222"/>
          <w:sz w:val="24"/>
          <w:szCs w:val="24"/>
          <w:lang w:eastAsia="it-IT"/>
        </w:rPr>
        <w:t>10.000.000 euro</w:t>
      </w:r>
    </w:p>
    <w:p w:rsidR="0014024B" w:rsidRPr="0014024B" w:rsidRDefault="0014024B" w:rsidP="0014024B">
      <w:pPr>
        <w:shd w:val="clear" w:color="auto" w:fill="FFFFFF"/>
        <w:spacing w:after="240" w:line="360" w:lineRule="atLeast"/>
        <w:rPr>
          <w:rFonts w:ascii="Calibri" w:eastAsia="Times New Roman" w:hAnsi="Calibri" w:cs="Times New Roman"/>
          <w:color w:val="222222"/>
          <w:lang w:eastAsia="it-IT"/>
        </w:rPr>
      </w:pP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b/>
          <w:bCs/>
          <w:color w:val="222222"/>
          <w:sz w:val="24"/>
          <w:szCs w:val="24"/>
          <w:lang w:eastAsia="it-IT"/>
        </w:rPr>
        <w:t>Attività ammissibili:</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Relazioni pubbliche: azioni di PR, eventi stampa.</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Sito web, social media: configurazione, manutenzione, aggiornamento del sito web; social media (configurazione degli account, pubblicazione regolare di post), applicazioni per dispositivi mobili, piattaforme di e-learning, seminari online, ecc.</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Pubblicità: stampa, TV, radio, servizi online, attività in ambienti esterni, cinema</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Strumenti di comunicazione: pubblicazioni, kit mediatici, gadget promozionali; video promozionali</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lastRenderedPageBreak/>
        <w:t>Eventi: stand in fiere; seminari, workshop, incontri tra imprese, formazioni commerciali/corsi di cucina, attività nelle scuole; settimane dei ristoranti; sponsorizzazione di eventi; viaggi di studio in Europa</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Promozione presso i punti vendita: giornate di degustazione; promozione nelle pubblicazioni destinate ai dettaglianti, pubblicità presso i punti vendita</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Beneficiari</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I richiedenti devono rientrare in una delle seguenti categorie:</w:t>
      </w:r>
      <w:r w:rsidRPr="0014024B">
        <w:rPr>
          <w:rFonts w:ascii="Lucida Sans Unicode" w:eastAsia="Times New Roman" w:hAnsi="Lucida Sans Unicode" w:cs="Lucida Sans Unicode"/>
          <w:color w:val="222222"/>
          <w:sz w:val="24"/>
          <w:szCs w:val="24"/>
          <w:lang w:eastAsia="it-IT"/>
        </w:rPr>
        <w:br/>
        <w:t>a. </w:t>
      </w:r>
      <w:r w:rsidRPr="0014024B">
        <w:rPr>
          <w:rFonts w:ascii="Lucida Sans Unicode" w:eastAsia="Times New Roman" w:hAnsi="Lucida Sans Unicode" w:cs="Lucida Sans Unicode"/>
          <w:b/>
          <w:bCs/>
          <w:color w:val="222222"/>
          <w:sz w:val="24"/>
          <w:szCs w:val="24"/>
          <w:lang w:eastAsia="it-IT"/>
        </w:rPr>
        <w:t>organizzazioni professionali o interprofessionali, stabilite in uno Stato membr</w:t>
      </w:r>
      <w:r w:rsidRPr="0014024B">
        <w:rPr>
          <w:rFonts w:ascii="Lucida Sans Unicode" w:eastAsia="Times New Roman" w:hAnsi="Lucida Sans Unicode" w:cs="Lucida Sans Unicode"/>
          <w:color w:val="222222"/>
          <w:sz w:val="24"/>
          <w:szCs w:val="24"/>
          <w:lang w:eastAsia="it-IT"/>
        </w:rPr>
        <w:t>o e rappresentative del settore o dei settori interessati in tale Stato membro, in particolare le organizzazioni interprofessionali di cui ai regolamenti </w:t>
      </w:r>
      <w:hyperlink r:id="rId6" w:tgtFrame="_blank" w:history="1">
        <w:r w:rsidRPr="0014024B">
          <w:rPr>
            <w:rFonts w:ascii="Lucida Sans Unicode" w:eastAsia="Times New Roman" w:hAnsi="Lucida Sans Unicode" w:cs="Lucida Sans Unicode"/>
            <w:sz w:val="24"/>
            <w:szCs w:val="24"/>
            <w:u w:val="single"/>
            <w:lang w:eastAsia="it-IT"/>
          </w:rPr>
          <w:t>1308/2013</w:t>
        </w:r>
      </w:hyperlink>
      <w:r w:rsidRPr="0014024B">
        <w:rPr>
          <w:rFonts w:ascii="Lucida Sans Unicode" w:eastAsia="Times New Roman" w:hAnsi="Lucida Sans Unicode" w:cs="Lucida Sans Unicode"/>
          <w:color w:val="222222"/>
          <w:sz w:val="24"/>
          <w:szCs w:val="24"/>
          <w:lang w:eastAsia="it-IT"/>
        </w:rPr>
        <w:t> (art. 157) e </w:t>
      </w:r>
      <w:hyperlink r:id="rId7" w:tgtFrame="_blank" w:history="1">
        <w:r w:rsidRPr="0014024B">
          <w:rPr>
            <w:rFonts w:ascii="Lucida Sans Unicode" w:eastAsia="Times New Roman" w:hAnsi="Lucida Sans Unicode" w:cs="Lucida Sans Unicode"/>
            <w:sz w:val="24"/>
            <w:szCs w:val="24"/>
            <w:u w:val="single"/>
            <w:lang w:eastAsia="it-IT"/>
          </w:rPr>
          <w:t>1151/2012</w:t>
        </w:r>
      </w:hyperlink>
      <w:r w:rsidRPr="0014024B">
        <w:rPr>
          <w:rFonts w:ascii="Lucida Sans Unicode" w:eastAsia="Times New Roman" w:hAnsi="Lucida Sans Unicode" w:cs="Lucida Sans Unicode"/>
          <w:color w:val="222222"/>
          <w:sz w:val="24"/>
          <w:szCs w:val="24"/>
          <w:lang w:eastAsia="it-IT"/>
        </w:rPr>
        <w:t> (art. 3, punto 2) purché siano rappresentative di un nome protetto ai sensi di quest'ultimo regolamento;</w:t>
      </w:r>
      <w:r w:rsidRPr="0014024B">
        <w:rPr>
          <w:rFonts w:ascii="Lucida Sans Unicode" w:eastAsia="Times New Roman" w:hAnsi="Lucida Sans Unicode" w:cs="Lucida Sans Unicode"/>
          <w:color w:val="222222"/>
          <w:sz w:val="24"/>
          <w:szCs w:val="24"/>
          <w:lang w:eastAsia="it-IT"/>
        </w:rPr>
        <w:br/>
        <w:t>b. </w:t>
      </w:r>
      <w:r w:rsidRPr="0014024B">
        <w:rPr>
          <w:rFonts w:ascii="Lucida Sans Unicode" w:eastAsia="Times New Roman" w:hAnsi="Lucida Sans Unicode" w:cs="Lucida Sans Unicode"/>
          <w:b/>
          <w:bCs/>
          <w:color w:val="222222"/>
          <w:sz w:val="24"/>
          <w:szCs w:val="24"/>
          <w:lang w:eastAsia="it-IT"/>
        </w:rPr>
        <w:t>organizzazioni professionali o interprofessionali dell’Unione</w:t>
      </w:r>
      <w:r w:rsidRPr="0014024B">
        <w:rPr>
          <w:rFonts w:ascii="Lucida Sans Unicode" w:eastAsia="Times New Roman" w:hAnsi="Lucida Sans Unicode" w:cs="Lucida Sans Unicode"/>
          <w:color w:val="222222"/>
          <w:sz w:val="24"/>
          <w:szCs w:val="24"/>
          <w:lang w:eastAsia="it-IT"/>
        </w:rPr>
        <w:t> rappresentative del settore interessato o dei settori interessati a livello di Unione;</w:t>
      </w:r>
      <w:r w:rsidRPr="0014024B">
        <w:rPr>
          <w:rFonts w:ascii="Lucida Sans Unicode" w:eastAsia="Times New Roman" w:hAnsi="Lucida Sans Unicode" w:cs="Lucida Sans Unicode"/>
          <w:color w:val="222222"/>
          <w:sz w:val="24"/>
          <w:szCs w:val="24"/>
          <w:lang w:eastAsia="it-IT"/>
        </w:rPr>
        <w:br/>
        <w:t>c. </w:t>
      </w:r>
      <w:r w:rsidRPr="0014024B">
        <w:rPr>
          <w:rFonts w:ascii="Lucida Sans Unicode" w:eastAsia="Times New Roman" w:hAnsi="Lucida Sans Unicode" w:cs="Lucida Sans Unicode"/>
          <w:b/>
          <w:bCs/>
          <w:color w:val="222222"/>
          <w:sz w:val="24"/>
          <w:szCs w:val="24"/>
          <w:lang w:eastAsia="it-IT"/>
        </w:rPr>
        <w:t>organizzazioni di produttori o associazioni di organizzazioni di produttori</w:t>
      </w:r>
      <w:r w:rsidRPr="0014024B">
        <w:rPr>
          <w:rFonts w:ascii="Lucida Sans Unicode" w:eastAsia="Times New Roman" w:hAnsi="Lucida Sans Unicode" w:cs="Lucida Sans Unicode"/>
          <w:color w:val="222222"/>
          <w:sz w:val="24"/>
          <w:szCs w:val="24"/>
          <w:lang w:eastAsia="it-IT"/>
        </w:rPr>
        <w:t> di cui al regolamento 1308/2013 (artt. 152 e 157) e che sono state riconosciute da uno Stato membro;</w:t>
      </w:r>
      <w:r w:rsidRPr="0014024B">
        <w:rPr>
          <w:rFonts w:ascii="Lucida Sans Unicode" w:eastAsia="Times New Roman" w:hAnsi="Lucida Sans Unicode" w:cs="Lucida Sans Unicode"/>
          <w:color w:val="222222"/>
          <w:sz w:val="24"/>
          <w:szCs w:val="24"/>
          <w:lang w:eastAsia="it-IT"/>
        </w:rPr>
        <w:br/>
        <w:t>d. </w:t>
      </w:r>
      <w:r w:rsidRPr="0014024B">
        <w:rPr>
          <w:rFonts w:ascii="Lucida Sans Unicode" w:eastAsia="Times New Roman" w:hAnsi="Lucida Sans Unicode" w:cs="Lucida Sans Unicode"/>
          <w:b/>
          <w:bCs/>
          <w:color w:val="222222"/>
          <w:sz w:val="24"/>
          <w:szCs w:val="24"/>
          <w:lang w:eastAsia="it-IT"/>
        </w:rPr>
        <w:t>organismi del settore agroalimentare</w:t>
      </w:r>
      <w:r w:rsidRPr="0014024B">
        <w:rPr>
          <w:rFonts w:ascii="Lucida Sans Unicode" w:eastAsia="Times New Roman" w:hAnsi="Lucida Sans Unicode" w:cs="Lucida Sans Unicode"/>
          <w:color w:val="222222"/>
          <w:sz w:val="24"/>
          <w:szCs w:val="24"/>
          <w:lang w:eastAsia="it-IT"/>
        </w:rPr>
        <w:t> il cui obiettivo e la cui attività consistano nel promuovere i prodotti agricoli e nel fornire informazioni sugli stessi, e che siano stati investiti dallo Stato membro interessato di attribuzioni di servizio pubblico chiaramente definite in questo ambito (devono essere legalmente costituiti almeno due anni prima del bando al quale intendono candidarsi).</w:t>
      </w: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color w:val="222222"/>
          <w:sz w:val="24"/>
          <w:szCs w:val="24"/>
          <w:lang w:eastAsia="it-IT"/>
        </w:rPr>
        <w:br/>
        <w:t>Il proponente deve essere </w:t>
      </w:r>
      <w:r w:rsidRPr="0014024B">
        <w:rPr>
          <w:rFonts w:ascii="Lucida Sans Unicode" w:eastAsia="Times New Roman" w:hAnsi="Lucida Sans Unicode" w:cs="Lucida Sans Unicode"/>
          <w:i/>
          <w:iCs/>
          <w:color w:val="222222"/>
          <w:sz w:val="24"/>
          <w:szCs w:val="24"/>
          <w:lang w:eastAsia="it-IT"/>
        </w:rPr>
        <w:t>rappresentativo</w:t>
      </w:r>
      <w:r w:rsidRPr="0014024B">
        <w:rPr>
          <w:rFonts w:ascii="Lucida Sans Unicode" w:eastAsia="Times New Roman" w:hAnsi="Lucida Sans Unicode" w:cs="Lucida Sans Unicode"/>
          <w:color w:val="222222"/>
          <w:sz w:val="24"/>
          <w:szCs w:val="24"/>
          <w:lang w:eastAsia="it-IT"/>
        </w:rPr>
        <w:t> del settore o del prodotto interessato (tale rappresentatività deve rispondere a requisiti specifici precisati nel testo de bando).</w:t>
      </w:r>
      <w:r w:rsidRPr="0014024B">
        <w:rPr>
          <w:rFonts w:ascii="Lucida Sans Unicode" w:eastAsia="Times New Roman" w:hAnsi="Lucida Sans Unicode" w:cs="Lucida Sans Unicode"/>
          <w:color w:val="222222"/>
          <w:sz w:val="24"/>
          <w:szCs w:val="24"/>
          <w:lang w:eastAsia="it-IT"/>
        </w:rPr>
        <w:br/>
        <w:t>Non sono ammissibili a presentare proposte soggetti che già ricevono finanziamenti per le stesse azioni di informazione e di promozione, già finanziate da un bando precedente.</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Entità Contributo</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Il contributo comunitario può coprire fino all’</w:t>
      </w:r>
      <w:r w:rsidRPr="0014024B">
        <w:rPr>
          <w:rFonts w:ascii="Lucida Sans Unicode" w:eastAsia="Times New Roman" w:hAnsi="Lucida Sans Unicode" w:cs="Lucida Sans Unicode"/>
          <w:b/>
          <w:bCs/>
          <w:color w:val="222222"/>
          <w:sz w:val="24"/>
          <w:szCs w:val="24"/>
          <w:lang w:eastAsia="it-IT"/>
        </w:rPr>
        <w:t>80%</w:t>
      </w:r>
      <w:r w:rsidRPr="0014024B">
        <w:rPr>
          <w:rFonts w:ascii="Lucida Sans Unicode" w:eastAsia="Times New Roman" w:hAnsi="Lucida Sans Unicode" w:cs="Lucida Sans Unicode"/>
          <w:color w:val="222222"/>
          <w:sz w:val="24"/>
          <w:szCs w:val="24"/>
          <w:lang w:eastAsia="it-IT"/>
        </w:rPr>
        <w:t> dei costi ammissibili</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Modalità e procedura</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Le proposte di progetto possono essere scritte in una lingua qualsiasi dell’UE (di preferenza l’inglese) e avere una durata prevista compresa fra 12 e 36 mesi. Devono essere presentate da un partenariato di almeno due soggetti ammissibili </w:t>
      </w:r>
      <w:r w:rsidRPr="0014024B">
        <w:rPr>
          <w:rFonts w:ascii="Lucida Sans Unicode" w:eastAsia="Times New Roman" w:hAnsi="Lucida Sans Unicode" w:cs="Lucida Sans Unicode"/>
          <w:strike/>
          <w:color w:val="222222"/>
          <w:sz w:val="24"/>
          <w:szCs w:val="24"/>
          <w:lang w:eastAsia="it-IT"/>
        </w:rPr>
        <w:t>dello stesso Stato membro</w:t>
      </w:r>
      <w:r w:rsidRPr="0014024B">
        <w:rPr>
          <w:rFonts w:ascii="Lucida Sans Unicode" w:eastAsia="Times New Roman" w:hAnsi="Lucida Sans Unicode" w:cs="Lucida Sans Unicode"/>
          <w:color w:val="222222"/>
          <w:sz w:val="24"/>
          <w:szCs w:val="24"/>
          <w:lang w:eastAsia="it-IT"/>
        </w:rPr>
        <w:t> stabiliti in almeno due Stati membri diversi oppure da</w:t>
      </w:r>
      <w:r w:rsidRPr="0014024B">
        <w:rPr>
          <w:rFonts w:ascii="Lucida Sans Unicode" w:eastAsia="Times New Roman" w:hAnsi="Lucida Sans Unicode" w:cs="Lucida Sans Unicode"/>
          <w:b/>
          <w:bCs/>
          <w:color w:val="222222"/>
          <w:sz w:val="24"/>
          <w:szCs w:val="24"/>
          <w:lang w:eastAsia="it-IT"/>
        </w:rPr>
        <w:t> </w:t>
      </w:r>
      <w:r w:rsidRPr="0014024B">
        <w:rPr>
          <w:rFonts w:ascii="Lucida Sans Unicode" w:eastAsia="Times New Roman" w:hAnsi="Lucida Sans Unicode" w:cs="Lucida Sans Unicode"/>
          <w:color w:val="222222"/>
          <w:sz w:val="24"/>
          <w:szCs w:val="24"/>
          <w:lang w:eastAsia="it-IT"/>
        </w:rPr>
        <w:t xml:space="preserve">una o più organizzazioni europee rappresentative di un </w:t>
      </w:r>
      <w:r w:rsidRPr="0014024B">
        <w:rPr>
          <w:rFonts w:ascii="Lucida Sans Unicode" w:eastAsia="Times New Roman" w:hAnsi="Lucida Sans Unicode" w:cs="Lucida Sans Unicode"/>
          <w:color w:val="222222"/>
          <w:sz w:val="24"/>
          <w:szCs w:val="24"/>
          <w:lang w:eastAsia="it-IT"/>
        </w:rPr>
        <w:lastRenderedPageBreak/>
        <w:t>prodotto a livello di Unione</w:t>
      </w:r>
      <w:r w:rsidRPr="0014024B">
        <w:rPr>
          <w:rFonts w:ascii="Lucida Sans Unicode" w:eastAsia="Times New Roman" w:hAnsi="Lucida Sans Unicode" w:cs="Lucida Sans Unicode"/>
          <w:b/>
          <w:bCs/>
          <w:color w:val="222222"/>
          <w:sz w:val="24"/>
          <w:szCs w:val="24"/>
          <w:lang w:eastAsia="it-IT"/>
        </w:rPr>
        <w:t>.</w:t>
      </w:r>
      <w:r w:rsidRPr="0014024B">
        <w:rPr>
          <w:rFonts w:ascii="Lucida Sans Unicode" w:eastAsia="Times New Roman" w:hAnsi="Lucida Sans Unicode" w:cs="Lucida Sans Unicode"/>
          <w:color w:val="222222"/>
          <w:sz w:val="24"/>
          <w:szCs w:val="24"/>
          <w:lang w:eastAsia="it-IT"/>
        </w:rPr>
        <w:br/>
      </w:r>
      <w:r w:rsidRPr="0014024B">
        <w:rPr>
          <w:rFonts w:ascii="Lucida Sans Unicode" w:eastAsia="Times New Roman" w:hAnsi="Lucida Sans Unicode" w:cs="Lucida Sans Unicode"/>
          <w:color w:val="222222"/>
          <w:sz w:val="24"/>
          <w:szCs w:val="24"/>
          <w:lang w:eastAsia="it-IT"/>
        </w:rPr>
        <w:br/>
        <w:t>La presentazione delle proposte di progetto deve essere fatta via web attraverso il </w:t>
      </w:r>
      <w:r w:rsidRPr="0014024B">
        <w:rPr>
          <w:rFonts w:ascii="Lucida Sans Unicode" w:eastAsia="Times New Roman" w:hAnsi="Lucida Sans Unicode" w:cs="Lucida Sans Unicode"/>
          <w:b/>
          <w:bCs/>
          <w:color w:val="222222"/>
          <w:sz w:val="24"/>
          <w:szCs w:val="24"/>
          <w:lang w:eastAsia="it-IT"/>
        </w:rPr>
        <w:t>portale Funding and Tender</w:t>
      </w:r>
      <w:r w:rsidRPr="0014024B">
        <w:rPr>
          <w:rFonts w:ascii="Lucida Sans Unicode" w:eastAsia="Times New Roman" w:hAnsi="Lucida Sans Unicode" w:cs="Lucida Sans Unicode"/>
          <w:color w:val="222222"/>
          <w:sz w:val="24"/>
          <w:szCs w:val="24"/>
          <w:lang w:eastAsia="it-IT"/>
        </w:rPr>
        <w:t> della Commissione europea: dalla pagina web indicata negli indirizzi utili si seleziona il </w:t>
      </w:r>
      <w:r w:rsidRPr="0014024B">
        <w:rPr>
          <w:rFonts w:ascii="Lucida Sans Unicode" w:eastAsia="Times New Roman" w:hAnsi="Lucida Sans Unicode" w:cs="Lucida Sans Unicode"/>
          <w:b/>
          <w:bCs/>
          <w:color w:val="222222"/>
          <w:sz w:val="24"/>
          <w:szCs w:val="24"/>
          <w:lang w:eastAsia="it-IT"/>
        </w:rPr>
        <w:t>tema</w:t>
      </w:r>
      <w:r w:rsidRPr="0014024B">
        <w:rPr>
          <w:rFonts w:ascii="Lucida Sans Unicode" w:eastAsia="Times New Roman" w:hAnsi="Lucida Sans Unicode" w:cs="Lucida Sans Unicode"/>
          <w:color w:val="222222"/>
          <w:sz w:val="24"/>
          <w:szCs w:val="24"/>
          <w:lang w:eastAsia="it-IT"/>
        </w:rPr>
        <w:t> di interesse e attraverso la relativa pagina web si accede alla documentazione specifica da utilizzare.</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color w:val="222222"/>
          <w:sz w:val="24"/>
          <w:szCs w:val="24"/>
          <w:lang w:eastAsia="it-IT"/>
        </w:rPr>
        <w:t>Per illustrare il bando, le condizioni di partecipazione, ecc. la </w:t>
      </w:r>
      <w:hyperlink r:id="rId8" w:tgtFrame="_blank" w:history="1">
        <w:r w:rsidRPr="0014024B">
          <w:rPr>
            <w:rFonts w:ascii="Lucida Sans Unicode" w:eastAsia="Times New Roman" w:hAnsi="Lucida Sans Unicode" w:cs="Lucida Sans Unicode"/>
            <w:sz w:val="24"/>
            <w:szCs w:val="24"/>
            <w:u w:val="single"/>
            <w:lang w:eastAsia="it-IT"/>
          </w:rPr>
          <w:t>CHAFEA </w:t>
        </w:r>
      </w:hyperlink>
      <w:r w:rsidRPr="0014024B">
        <w:rPr>
          <w:rFonts w:ascii="Lucida Sans Unicode" w:eastAsia="Times New Roman" w:hAnsi="Lucida Sans Unicode" w:cs="Lucida Sans Unicode"/>
          <w:color w:val="222222"/>
          <w:sz w:val="24"/>
          <w:szCs w:val="24"/>
          <w:lang w:eastAsia="it-IT"/>
        </w:rPr>
        <w:t>- l'Agenzia della Commissione incaricata della gestione del bando-  il </w:t>
      </w:r>
      <w:r w:rsidRPr="0014024B">
        <w:rPr>
          <w:rFonts w:ascii="Lucida Sans Unicode" w:eastAsia="Times New Roman" w:hAnsi="Lucida Sans Unicode" w:cs="Lucida Sans Unicode"/>
          <w:b/>
          <w:bCs/>
          <w:color w:val="222222"/>
          <w:sz w:val="24"/>
          <w:szCs w:val="24"/>
          <w:lang w:eastAsia="it-IT"/>
        </w:rPr>
        <w:t>28 e 29 gennaio</w:t>
      </w:r>
      <w:r w:rsidRPr="0014024B">
        <w:rPr>
          <w:rFonts w:ascii="Lucida Sans Unicode" w:eastAsia="Times New Roman" w:hAnsi="Lucida Sans Unicode" w:cs="Lucida Sans Unicode"/>
          <w:color w:val="222222"/>
          <w:sz w:val="24"/>
          <w:szCs w:val="24"/>
          <w:lang w:eastAsia="it-IT"/>
        </w:rPr>
        <w:t> ha organizzato a Bruxelles un </w:t>
      </w:r>
      <w:hyperlink r:id="rId9" w:tgtFrame="_blank" w:history="1">
        <w:r w:rsidRPr="0014024B">
          <w:rPr>
            <w:rFonts w:ascii="Lucida Sans Unicode" w:eastAsia="Times New Roman" w:hAnsi="Lucida Sans Unicode" w:cs="Lucida Sans Unicode"/>
            <w:sz w:val="24"/>
            <w:szCs w:val="24"/>
            <w:u w:val="single"/>
            <w:lang w:eastAsia="it-IT"/>
          </w:rPr>
          <w:t>Info Day</w:t>
        </w:r>
      </w:hyperlink>
      <w:r w:rsidRPr="0014024B">
        <w:rPr>
          <w:rFonts w:ascii="Lucida Sans Unicode" w:eastAsia="Times New Roman" w:hAnsi="Lucida Sans Unicode" w:cs="Lucida Sans Unicode"/>
          <w:color w:val="222222"/>
          <w:sz w:val="24"/>
          <w:szCs w:val="24"/>
          <w:lang w:eastAsia="it-IT"/>
        </w:rPr>
        <w:t>. Le registrazioni degli interventi sono disponibili sul sito.</w:t>
      </w:r>
    </w:p>
    <w:p w:rsidR="0014024B" w:rsidRPr="0014024B" w:rsidRDefault="0014024B" w:rsidP="0014024B">
      <w:pPr>
        <w:shd w:val="clear" w:color="auto" w:fill="EFEFEF"/>
        <w:spacing w:before="180" w:after="60" w:line="240" w:lineRule="auto"/>
        <w:rPr>
          <w:rFonts w:ascii="Calibri" w:eastAsia="Times New Roman" w:hAnsi="Calibri" w:cs="Times New Roman"/>
          <w:color w:val="222222"/>
          <w:lang w:eastAsia="it-IT"/>
        </w:rPr>
      </w:pPr>
      <w:r w:rsidRPr="0014024B">
        <w:rPr>
          <w:rFonts w:ascii="Trebuchet MS" w:eastAsia="Times New Roman" w:hAnsi="Trebuchet MS" w:cs="Times New Roman"/>
          <w:b/>
          <w:bCs/>
          <w:color w:val="222222"/>
          <w:sz w:val="24"/>
          <w:szCs w:val="24"/>
          <w:lang w:eastAsia="it-IT"/>
        </w:rPr>
        <w:t>Scadenza</w:t>
      </w:r>
    </w:p>
    <w:p w:rsidR="0014024B" w:rsidRPr="0014024B" w:rsidRDefault="0014024B" w:rsidP="0014024B">
      <w:pPr>
        <w:shd w:val="clear" w:color="auto" w:fill="FFFFFF"/>
        <w:spacing w:after="180" w:line="360" w:lineRule="atLeast"/>
        <w:rPr>
          <w:rFonts w:ascii="Calibri" w:eastAsia="Times New Roman" w:hAnsi="Calibri" w:cs="Times New Roman"/>
          <w:color w:val="222222"/>
          <w:lang w:eastAsia="it-IT"/>
        </w:rPr>
      </w:pPr>
      <w:r w:rsidRPr="0014024B">
        <w:rPr>
          <w:rFonts w:ascii="Lucida Sans Unicode" w:eastAsia="Times New Roman" w:hAnsi="Lucida Sans Unicode" w:cs="Lucida Sans Unicode"/>
          <w:b/>
          <w:bCs/>
          <w:color w:val="222222"/>
          <w:sz w:val="24"/>
          <w:szCs w:val="24"/>
          <w:lang w:eastAsia="it-IT"/>
        </w:rPr>
        <w:t>11/05/2021 </w:t>
      </w:r>
    </w:p>
    <w:p w:rsidR="006B7E45" w:rsidRDefault="006B7E45"/>
    <w:sectPr w:rsidR="006B7E45" w:rsidSect="006B7E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4024B"/>
    <w:rsid w:val="0014024B"/>
    <w:rsid w:val="006B7E45"/>
    <w:rsid w:val="00E675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E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4024B"/>
    <w:rPr>
      <w:color w:val="0000FF"/>
      <w:u w:val="single"/>
    </w:rPr>
  </w:style>
</w:styles>
</file>

<file path=word/webSettings.xml><?xml version="1.0" encoding="utf-8"?>
<w:webSettings xmlns:r="http://schemas.openxmlformats.org/officeDocument/2006/relationships" xmlns:w="http://schemas.openxmlformats.org/wordprocessingml/2006/main">
  <w:divs>
    <w:div w:id="18237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chafea/agri/" TargetMode="External"/><Relationship Id="rId3" Type="http://schemas.openxmlformats.org/officeDocument/2006/relationships/webSettings" Target="webSettings.xml"/><Relationship Id="rId7" Type="http://schemas.openxmlformats.org/officeDocument/2006/relationships/hyperlink" Target="http://eur-lex.europa.eu/LexUriServ/LexUriServ.do?uri=OJ:L:2012:343:0001:0029:i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afacile.net/SchedaDocumento.asp?DocumentoId=12956&amp;Azione=SchedaSemplice" TargetMode="External"/><Relationship Id="rId11" Type="http://schemas.openxmlformats.org/officeDocument/2006/relationships/theme" Target="theme/theme1.xml"/><Relationship Id="rId5" Type="http://schemas.openxmlformats.org/officeDocument/2006/relationships/hyperlink" Target="http://www.europafacile.net/Scheda/Documento/8369" TargetMode="External"/><Relationship Id="rId10" Type="http://schemas.openxmlformats.org/officeDocument/2006/relationships/fontTable" Target="fontTable.xml"/><Relationship Id="rId4" Type="http://schemas.openxmlformats.org/officeDocument/2006/relationships/hyperlink" Target="https://ec.europa.eu/info/food-farming-fisheries/food-safety-and-quality/certification/quality-labels/quality-schemes-explained_it" TargetMode="External"/><Relationship Id="rId9" Type="http://schemas.openxmlformats.org/officeDocument/2006/relationships/hyperlink" Target="https://ec.europa.eu/chafea/agri/en/newsroom-and-events/events/online-info-day-calls-proposals-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2021-03-16T15:13:00Z</dcterms:created>
  <dcterms:modified xsi:type="dcterms:W3CDTF">2021-03-16T15:14:00Z</dcterms:modified>
</cp:coreProperties>
</file>